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5458DEB2" w14:textId="77777777" w:rsidR="00EB51C9" w:rsidRDefault="00EB51C9" w:rsidP="00DE7216">
      <w:pPr>
        <w:spacing w:after="0" w:line="240" w:lineRule="auto"/>
        <w:rPr>
          <w:rFonts w:ascii="Garamond" w:hAnsi="Garamond" w:cs="Arial"/>
          <w:b/>
          <w:i/>
          <w:sz w:val="24"/>
          <w:szCs w:val="24"/>
        </w:rPr>
      </w:pPr>
    </w:p>
    <w:p w14:paraId="70643D0F" w14:textId="77777777" w:rsidR="00EB51C9" w:rsidRDefault="00EB51C9" w:rsidP="00DE7216">
      <w:pPr>
        <w:spacing w:after="0" w:line="240" w:lineRule="auto"/>
        <w:rPr>
          <w:rFonts w:ascii="Garamond" w:hAnsi="Garamond" w:cs="Arial"/>
          <w:b/>
          <w:i/>
          <w:sz w:val="24"/>
          <w:szCs w:val="24"/>
        </w:rPr>
      </w:pPr>
    </w:p>
    <w:p w14:paraId="12A80266" w14:textId="40280D73" w:rsidR="00DE7216" w:rsidRPr="00EB51C9" w:rsidRDefault="00A13D8D" w:rsidP="00DE7216">
      <w:pPr>
        <w:spacing w:after="0" w:line="240" w:lineRule="auto"/>
        <w:rPr>
          <w:rFonts w:ascii="Arial Unicode MS" w:eastAsia="Arial Unicode MS" w:hAnsi="Arial Unicode MS" w:cs="Arial Unicode MS"/>
          <w:b/>
          <w:i/>
          <w:sz w:val="32"/>
          <w:szCs w:val="32"/>
        </w:rPr>
      </w:pPr>
      <w:r w:rsidRPr="00D439D8">
        <w:rPr>
          <w:rFonts w:ascii="Garamond" w:hAnsi="Garamond" w:cs="Arial"/>
          <w:b/>
          <w:i/>
          <w:sz w:val="24"/>
          <w:szCs w:val="24"/>
        </w:rPr>
        <w:lastRenderedPageBreak/>
        <w:t>NIT No</w:t>
      </w:r>
      <w:r w:rsidRPr="00EB51C9">
        <w:rPr>
          <w:rFonts w:ascii="Arial Unicode MS" w:eastAsia="Arial Unicode MS" w:hAnsi="Arial Unicode MS" w:cs="Arial Unicode MS"/>
          <w:b/>
          <w:i/>
          <w:sz w:val="32"/>
          <w:szCs w:val="32"/>
        </w:rPr>
        <w:t xml:space="preserve">. </w:t>
      </w:r>
      <w:r w:rsidR="00EB51C9" w:rsidRPr="00EB51C9">
        <w:rPr>
          <w:rFonts w:ascii="Arial Unicode MS" w:eastAsia="Arial Unicode MS" w:hAnsi="Arial Unicode MS" w:cs="Arial Unicode MS"/>
          <w:color w:val="8D99A6"/>
          <w:sz w:val="32"/>
          <w:szCs w:val="32"/>
          <w:shd w:val="clear" w:color="auto" w:fill="FFFFFF"/>
        </w:rPr>
        <w:t>TEN</w:t>
      </w:r>
      <w:r w:rsidR="003B7880">
        <w:rPr>
          <w:rFonts w:ascii="Arial Unicode MS" w:eastAsia="Arial Unicode MS" w:hAnsi="Arial Unicode MS" w:cs="Arial Unicode MS"/>
          <w:color w:val="8D99A6"/>
          <w:sz w:val="32"/>
          <w:szCs w:val="32"/>
          <w:shd w:val="clear" w:color="auto" w:fill="FFFFFF"/>
        </w:rPr>
        <w:t>24030002</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28FE7068"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A73431">
        <w:rPr>
          <w:rFonts w:ascii="Comic Sans MS" w:hAnsi="Comic Sans MS"/>
          <w:b/>
          <w:i/>
          <w:sz w:val="28"/>
          <w:szCs w:val="28"/>
          <w:lang w:val="en-US"/>
        </w:rPr>
        <w:t>Maintenance of Buildings at Dagana, Dagapela &amp; Damphu</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4A55B86E" w14:textId="730321CA" w:rsidR="00E03BFC" w:rsidRPr="00AB3998" w:rsidRDefault="00E03BFC" w:rsidP="003B7880">
            <w:pPr>
              <w:spacing w:after="0" w:line="240" w:lineRule="auto"/>
              <w:rPr>
                <w:rFonts w:ascii="Garamond" w:eastAsia="Times New Roman" w:hAnsi="Garamond" w:cs="Times New Roman"/>
                <w:b/>
                <w:color w:val="000000"/>
                <w:sz w:val="28"/>
                <w:szCs w:val="28"/>
              </w:rPr>
            </w:pPr>
            <w:r w:rsidRPr="00993980">
              <w:rPr>
                <w:rFonts w:ascii="Garamond" w:eastAsia="Times New Roman" w:hAnsi="Garamond" w:cs="Times New Roman"/>
                <w:b/>
                <w:color w:val="000000"/>
                <w:sz w:val="24"/>
                <w:szCs w:val="24"/>
              </w:rPr>
              <w:t> </w:t>
            </w:r>
            <w:r w:rsidR="003B7880">
              <w:rPr>
                <w:rFonts w:ascii="Arial Unicode MS" w:eastAsia="Arial Unicode MS" w:hAnsi="Arial Unicode MS" w:cs="Arial Unicode MS"/>
                <w:color w:val="8D99A6"/>
                <w:sz w:val="32"/>
                <w:szCs w:val="32"/>
                <w:shd w:val="clear" w:color="auto" w:fill="FFFFFF"/>
              </w:rPr>
              <w:t>TEN24030002</w:t>
            </w: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68292358" w:rsidR="00E03BFC" w:rsidRPr="00D439D8" w:rsidRDefault="003B662C" w:rsidP="00DA46D7">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A73431">
              <w:rPr>
                <w:rFonts w:ascii="Garamond" w:eastAsia="Times New Roman" w:hAnsi="Garamond" w:cs="Times New Roman"/>
                <w:b/>
                <w:color w:val="000000"/>
                <w:sz w:val="24"/>
                <w:szCs w:val="24"/>
              </w:rPr>
              <w:t>25/03/2024</w:t>
            </w:r>
            <w:r w:rsidR="00EB51C9">
              <w:rPr>
                <w:rFonts w:ascii="Garamond" w:eastAsia="Times New Roman" w:hAnsi="Garamond" w:cs="Times New Roman"/>
                <w:b/>
                <w:color w:val="000000"/>
                <w:sz w:val="24"/>
                <w:szCs w:val="24"/>
              </w:rPr>
              <w:t xml:space="preserve">  (12</w:t>
            </w:r>
            <w:r w:rsidR="00E03BFC" w:rsidRPr="00D439D8">
              <w:rPr>
                <w:rFonts w:ascii="Garamond" w:eastAsia="Times New Roman" w:hAnsi="Garamond" w:cs="Times New Roman"/>
                <w:b/>
                <w:color w:val="000000"/>
                <w:sz w:val="24"/>
                <w:szCs w:val="24"/>
              </w:rPr>
              <w:t>:00 hrs)</w:t>
            </w:r>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2C3BF8C7" w:rsidR="00E03BFC" w:rsidRPr="00D439D8" w:rsidRDefault="00A73431" w:rsidP="00221FC8">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25/03</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Pr>
                <w:rFonts w:ascii="Garamond" w:eastAsia="Times New Roman" w:hAnsi="Garamond" w:cs="Times New Roman"/>
                <w:b/>
                <w:color w:val="000000"/>
                <w:sz w:val="24"/>
                <w:szCs w:val="24"/>
              </w:rPr>
              <w:t>2024</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bookmarkStart w:id="0" w:name="_GoBack"/>
      <w:bookmarkEnd w:id="0"/>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7BA6680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w:t>
      </w:r>
      <w:r w:rsidR="00CC779E">
        <w:rPr>
          <w:rFonts w:ascii="Garamond" w:hAnsi="Garamond"/>
          <w:sz w:val="24"/>
          <w:szCs w:val="24"/>
          <w:lang w:val="en-US"/>
        </w:rPr>
        <w:t>RCC</w:t>
      </w:r>
      <w:r w:rsidRPr="00D439D8">
        <w:rPr>
          <w:rFonts w:ascii="Garamond" w:hAnsi="Garamond"/>
          <w:sz w:val="24"/>
          <w:szCs w:val="24"/>
          <w:lang w:val="en-US"/>
        </w:rPr>
        <w:t xml:space="preserve"> works</w:t>
      </w:r>
      <w:r w:rsidR="00CC779E">
        <w:rPr>
          <w:rFonts w:ascii="Garamond" w:hAnsi="Garamond"/>
          <w:sz w:val="24"/>
          <w:szCs w:val="24"/>
          <w:lang w:val="en-US"/>
        </w:rPr>
        <w:t xml:space="preserve"> and Fencing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0831FF60" w:rsidR="00A919E8" w:rsidRPr="00D439D8" w:rsidRDefault="0041480B" w:rsidP="00221FC8">
      <w:pPr>
        <w:pStyle w:val="ListParagraph"/>
        <w:widowControl/>
        <w:numPr>
          <w:ilvl w:val="1"/>
          <w:numId w:val="27"/>
        </w:numPr>
        <w:autoSpaceDE/>
        <w:autoSpaceDN/>
        <w:spacing w:before="240"/>
        <w:ind w:left="900" w:hanging="900"/>
        <w:contextualSpacing/>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221FC8">
        <w:rPr>
          <w:rFonts w:ascii="Garamond" w:hAnsi="Garamond"/>
          <w:b/>
          <w:i/>
          <w:sz w:val="24"/>
          <w:szCs w:val="24"/>
          <w:lang w:val="en-US"/>
        </w:rPr>
        <w:t>Nu.</w:t>
      </w:r>
      <w:r w:rsidR="00DA46D7">
        <w:rPr>
          <w:rFonts w:ascii="Garamond" w:hAnsi="Garamond"/>
          <w:b/>
          <w:i/>
          <w:sz w:val="24"/>
          <w:szCs w:val="24"/>
          <w:lang w:val="en-US"/>
        </w:rPr>
        <w:t xml:space="preserve"> </w:t>
      </w:r>
      <w:r w:rsidR="00A73431">
        <w:rPr>
          <w:rFonts w:ascii="Garamond" w:hAnsi="Garamond"/>
          <w:b/>
          <w:i/>
          <w:sz w:val="24"/>
          <w:szCs w:val="24"/>
          <w:lang w:val="en-US"/>
        </w:rPr>
        <w:t>16,580.00</w:t>
      </w:r>
      <w:r w:rsidR="00DA46D7">
        <w:rPr>
          <w:rFonts w:ascii="Garamond" w:hAnsi="Garamond"/>
          <w:b/>
          <w:i/>
          <w:sz w:val="24"/>
          <w:szCs w:val="24"/>
          <w:lang w:val="en-US"/>
        </w:rPr>
        <w:t xml:space="preserve"> </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A73431">
        <w:rPr>
          <w:rFonts w:ascii="Garamond" w:hAnsi="Garamond"/>
          <w:b/>
          <w:i/>
          <w:sz w:val="24"/>
          <w:szCs w:val="24"/>
          <w:lang w:val="en-US"/>
        </w:rPr>
        <w:t>Sixteen thousand five hundred eighty)</w:t>
      </w:r>
      <w:r w:rsidR="00221FC8">
        <w:rPr>
          <w:rFonts w:ascii="Garamond" w:hAnsi="Garamond"/>
          <w:b/>
          <w:i/>
          <w:sz w:val="24"/>
          <w:szCs w:val="24"/>
          <w:lang w:val="en-US"/>
        </w:rPr>
        <w:t xml:space="preserve"> o</w:t>
      </w:r>
      <w:r w:rsidR="00CC779E">
        <w:rPr>
          <w:rFonts w:ascii="Garamond" w:hAnsi="Garamond"/>
          <w:b/>
          <w:i/>
          <w:sz w:val="24"/>
          <w:szCs w:val="24"/>
          <w:lang w:val="en-US"/>
        </w:rPr>
        <w:t xml:space="preserve">nly </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 xml:space="preserve">Bhutan Telecom </w:t>
      </w:r>
      <w:r w:rsidR="00724D7A" w:rsidRPr="00D439D8">
        <w:rPr>
          <w:rFonts w:ascii="Garamond" w:hAnsi="Garamond"/>
          <w:b/>
          <w:i/>
          <w:sz w:val="24"/>
          <w:szCs w:val="24"/>
          <w:lang w:val="en-US"/>
        </w:rPr>
        <w:lastRenderedPageBreak/>
        <w:t>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157F8EEE"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1"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00E71C7C">
        <w:rPr>
          <w:rFonts w:ascii="Garamond" w:hAnsi="Garamond"/>
          <w:b/>
          <w:bCs/>
          <w:i/>
          <w:spacing w:val="-10"/>
          <w:position w:val="-4"/>
          <w:sz w:val="24"/>
          <w:szCs w:val="24"/>
        </w:rPr>
        <w:t xml:space="preserve">our nearest Branch </w:t>
      </w:r>
      <w:r w:rsidR="00A73431">
        <w:rPr>
          <w:rFonts w:ascii="Garamond" w:hAnsi="Garamond"/>
          <w:b/>
          <w:bCs/>
          <w:i/>
          <w:spacing w:val="-10"/>
          <w:position w:val="-4"/>
          <w:sz w:val="24"/>
          <w:szCs w:val="24"/>
          <w:lang w:val="en-US"/>
        </w:rPr>
        <w:t xml:space="preserve"> </w:t>
      </w:r>
      <w:r w:rsidR="00E71C7C">
        <w:rPr>
          <w:rFonts w:ascii="Garamond" w:hAnsi="Garamond"/>
          <w:b/>
          <w:bCs/>
          <w:i/>
          <w:spacing w:val="-10"/>
          <w:position w:val="-4"/>
          <w:sz w:val="24"/>
          <w:szCs w:val="24"/>
        </w:rPr>
        <w:t>Off</w:t>
      </w:r>
      <w:r w:rsidR="00E71C7C">
        <w:rPr>
          <w:rFonts w:ascii="Garamond" w:hAnsi="Garamond"/>
          <w:b/>
          <w:bCs/>
          <w:i/>
          <w:spacing w:val="-10"/>
          <w:position w:val="-4"/>
          <w:sz w:val="24"/>
          <w:szCs w:val="24"/>
          <w:lang w:val="en-US"/>
        </w:rPr>
        <w:t xml:space="preserve"> ice </w:t>
      </w:r>
      <w:r w:rsidR="00A73431">
        <w:rPr>
          <w:rFonts w:ascii="Garamond" w:hAnsi="Garamond"/>
          <w:b/>
          <w:bCs/>
          <w:i/>
          <w:spacing w:val="-10"/>
          <w:position w:val="-4"/>
          <w:sz w:val="24"/>
          <w:szCs w:val="24"/>
          <w:lang w:val="en-US"/>
        </w:rPr>
        <w:t xml:space="preserve"> </w:t>
      </w:r>
      <w:r w:rsidR="00E71C7C">
        <w:rPr>
          <w:rFonts w:ascii="Garamond" w:hAnsi="Garamond"/>
          <w:b/>
          <w:bCs/>
          <w:i/>
          <w:spacing w:val="-10"/>
          <w:position w:val="-4"/>
          <w:sz w:val="24"/>
          <w:szCs w:val="24"/>
          <w:lang w:val="en-US"/>
        </w:rPr>
        <w:t xml:space="preserve">with the forwarding letter  </w:t>
      </w:r>
      <w:r w:rsidR="00FA223F">
        <w:rPr>
          <w:rFonts w:ascii="Garamond" w:hAnsi="Garamond"/>
          <w:b/>
          <w:bCs/>
          <w:i/>
          <w:spacing w:val="-10"/>
          <w:position w:val="-4"/>
          <w:sz w:val="24"/>
          <w:szCs w:val="24"/>
          <w:lang w:val="en-US"/>
        </w:rPr>
        <w:t>mentioning</w:t>
      </w:r>
      <w:r w:rsidR="00E71C7C">
        <w:rPr>
          <w:rFonts w:ascii="Garamond" w:hAnsi="Garamond"/>
          <w:b/>
          <w:bCs/>
          <w:i/>
          <w:spacing w:val="-10"/>
          <w:position w:val="-4"/>
          <w:sz w:val="24"/>
          <w:szCs w:val="24"/>
          <w:lang w:val="en-US"/>
        </w:rPr>
        <w:t xml:space="preserve"> the tender number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2" w:name="_Ref273699315"/>
      <w:bookmarkEnd w:id="1"/>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2"/>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20D5E100"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A73431">
        <w:rPr>
          <w:rFonts w:ascii="Garamond" w:hAnsi="Garamond"/>
          <w:sz w:val="24"/>
          <w:szCs w:val="24"/>
          <w:lang w:val="en-US"/>
        </w:rPr>
        <w:t>25</w:t>
      </w:r>
      <w:r w:rsidR="00DA46D7" w:rsidRPr="00DA46D7">
        <w:rPr>
          <w:rFonts w:ascii="Garamond" w:hAnsi="Garamond"/>
          <w:sz w:val="24"/>
          <w:szCs w:val="24"/>
          <w:vertAlign w:val="superscript"/>
          <w:lang w:val="en-US"/>
        </w:rPr>
        <w:t>th</w:t>
      </w:r>
      <w:r w:rsidR="00A73431">
        <w:rPr>
          <w:rFonts w:ascii="Garamond" w:hAnsi="Garamond"/>
          <w:sz w:val="24"/>
          <w:szCs w:val="24"/>
          <w:lang w:val="en-US"/>
        </w:rPr>
        <w:t xml:space="preserve"> March 2024</w:t>
      </w:r>
      <w:r w:rsidR="00565A31">
        <w:rPr>
          <w:rFonts w:ascii="Garamond" w:hAnsi="Garamond"/>
          <w:sz w:val="24"/>
          <w:szCs w:val="24"/>
          <w:lang w:val="en-US"/>
        </w:rPr>
        <w:t xml:space="preserve"> </w:t>
      </w:r>
      <w:r w:rsidR="00A92731" w:rsidRPr="00D439D8">
        <w:rPr>
          <w:rFonts w:ascii="Garamond" w:hAnsi="Garamond"/>
          <w:b/>
          <w:i/>
          <w:sz w:val="24"/>
          <w:szCs w:val="24"/>
          <w:lang w:val="en-US"/>
        </w:rPr>
        <w:t xml:space="preserve">at </w:t>
      </w:r>
      <w:r w:rsidR="0081575E">
        <w:rPr>
          <w:rFonts w:ascii="Garamond" w:hAnsi="Garamond"/>
          <w:b/>
          <w:i/>
          <w:sz w:val="24"/>
          <w:szCs w:val="24"/>
          <w:lang w:val="en-US"/>
        </w:rPr>
        <w:t>1</w:t>
      </w:r>
      <w:r w:rsidR="005A5472">
        <w:rPr>
          <w:rFonts w:ascii="Garamond" w:hAnsi="Garamond"/>
          <w:b/>
          <w:i/>
          <w:sz w:val="24"/>
          <w:szCs w:val="24"/>
          <w:lang w:val="en-US"/>
        </w:rPr>
        <w:t>2</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5F1728DB"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A73431">
        <w:rPr>
          <w:rFonts w:ascii="Garamond" w:hAnsi="Garamond"/>
          <w:sz w:val="24"/>
          <w:szCs w:val="24"/>
          <w:lang w:val="en-US"/>
        </w:rPr>
        <w:t>25/03</w:t>
      </w:r>
      <w:r w:rsidR="00A73431">
        <w:rPr>
          <w:rFonts w:ascii="Garamond" w:hAnsi="Garamond"/>
          <w:b/>
          <w:i/>
          <w:sz w:val="24"/>
          <w:szCs w:val="24"/>
          <w:lang w:val="en-US"/>
        </w:rPr>
        <w:t xml:space="preserve">/2024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w:t>
      </w:r>
      <w:r w:rsidRPr="00D439D8">
        <w:rPr>
          <w:rFonts w:ascii="Garamond" w:hAnsi="Garamond"/>
          <w:sz w:val="24"/>
          <w:szCs w:val="24"/>
        </w:rPr>
        <w:lastRenderedPageBreak/>
        <w:t xml:space="preserve">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4F95C65D"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FE7C87C"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A0309B3" w14:textId="77777777" w:rsidR="005A5472" w:rsidRPr="00D439D8" w:rsidRDefault="005A5472"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lastRenderedPageBreak/>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5FD0B36D"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t xml:space="preserve">The works and related services shall be completed within </w:t>
      </w:r>
      <w:r w:rsidRPr="00D439D8">
        <w:rPr>
          <w:rFonts w:ascii="Garamond" w:hAnsi="Garamond"/>
          <w:b/>
          <w:sz w:val="24"/>
          <w:szCs w:val="24"/>
          <w:lang w:val="en-US"/>
        </w:rPr>
        <w:t>(</w:t>
      </w:r>
      <w:r w:rsidR="00A73431">
        <w:rPr>
          <w:rFonts w:ascii="Garamond" w:hAnsi="Garamond"/>
          <w:b/>
          <w:sz w:val="24"/>
          <w:szCs w:val="24"/>
          <w:lang w:val="en-US"/>
        </w:rPr>
        <w:t>5</w:t>
      </w:r>
      <w:r w:rsidR="00DA46D7">
        <w:rPr>
          <w:rFonts w:ascii="Garamond" w:hAnsi="Garamond"/>
          <w:b/>
          <w:sz w:val="24"/>
          <w:szCs w:val="24"/>
          <w:lang w:val="en-US"/>
        </w:rPr>
        <w:t>0</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lastRenderedPageBreak/>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lastRenderedPageBreak/>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lastRenderedPageBreak/>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lastRenderedPageBreak/>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lastRenderedPageBreak/>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lastRenderedPageBreak/>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lastRenderedPageBreak/>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lastRenderedPageBreak/>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lastRenderedPageBreak/>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lastRenderedPageBreak/>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lastRenderedPageBreak/>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lastRenderedPageBreak/>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lastRenderedPageBreak/>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lastRenderedPageBreak/>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lastRenderedPageBreak/>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w:t>
      </w:r>
      <w:r w:rsidRPr="00D439D8">
        <w:rPr>
          <w:rFonts w:ascii="Garamond" w:hAnsi="Garamond"/>
          <w:color w:val="000000"/>
        </w:rPr>
        <w:lastRenderedPageBreak/>
        <w:t>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lastRenderedPageBreak/>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w:t>
      </w:r>
      <w:r w:rsidRPr="00D439D8">
        <w:rPr>
          <w:rFonts w:ascii="Garamond" w:hAnsi="Garamond"/>
          <w:color w:val="000000"/>
        </w:rPr>
        <w:lastRenderedPageBreak/>
        <w:t>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lastRenderedPageBreak/>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E71C7C" w:rsidRDefault="00E71C7C" w:rsidP="006A4BFB">
      <w:pPr>
        <w:pStyle w:val="CommentText"/>
      </w:pPr>
      <w:r>
        <w:rPr>
          <w:rStyle w:val="CommentReference"/>
        </w:rPr>
        <w:annotationRef/>
      </w:r>
      <w:r>
        <w:t>From large SBD for works</w:t>
      </w:r>
    </w:p>
  </w:comment>
  <w:comment w:id="11" w:author="Sonam Dema" w:date="2022-05-06T14:44:00Z" w:initials="SD">
    <w:p w14:paraId="232F314D" w14:textId="64831E01" w:rsidR="00E71C7C" w:rsidRDefault="00E71C7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12992" w14:textId="77777777" w:rsidR="00675CEE" w:rsidRDefault="00675CEE" w:rsidP="00DE7216">
      <w:pPr>
        <w:spacing w:after="0" w:line="240" w:lineRule="auto"/>
      </w:pPr>
      <w:r>
        <w:separator/>
      </w:r>
    </w:p>
  </w:endnote>
  <w:endnote w:type="continuationSeparator" w:id="0">
    <w:p w14:paraId="03484E7C" w14:textId="77777777" w:rsidR="00675CEE" w:rsidRDefault="00675CEE"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E71C7C" w:rsidRDefault="00E71C7C"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E71C7C" w:rsidRDefault="00E71C7C"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E71C7C" w:rsidRDefault="00E71C7C"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7880">
      <w:rPr>
        <w:rStyle w:val="PageNumber"/>
        <w:noProof/>
      </w:rPr>
      <w:t>21</w:t>
    </w:r>
    <w:r>
      <w:rPr>
        <w:rStyle w:val="PageNumber"/>
      </w:rPr>
      <w:fldChar w:fldCharType="end"/>
    </w:r>
  </w:p>
  <w:p w14:paraId="0A46D9F7" w14:textId="77777777" w:rsidR="00E71C7C" w:rsidRDefault="00E71C7C"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0BFB" w14:textId="77777777" w:rsidR="00675CEE" w:rsidRDefault="00675CEE" w:rsidP="00DE7216">
      <w:pPr>
        <w:spacing w:after="0" w:line="240" w:lineRule="auto"/>
      </w:pPr>
      <w:r>
        <w:separator/>
      </w:r>
    </w:p>
  </w:footnote>
  <w:footnote w:type="continuationSeparator" w:id="0">
    <w:p w14:paraId="418BF755" w14:textId="77777777" w:rsidR="00675CEE" w:rsidRDefault="00675CEE" w:rsidP="00DE7216">
      <w:pPr>
        <w:spacing w:after="0" w:line="240" w:lineRule="auto"/>
      </w:pPr>
      <w:r>
        <w:continuationSeparator/>
      </w:r>
    </w:p>
  </w:footnote>
  <w:footnote w:id="1">
    <w:p w14:paraId="609CA7B0" w14:textId="77777777" w:rsidR="00E71C7C" w:rsidRDefault="00E71C7C"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E71C7C" w:rsidRDefault="00E71C7C"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E71C7C" w:rsidRPr="00DE7216" w:rsidRDefault="00E71C7C"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1009"/>
    <w:rsid w:val="0008480A"/>
    <w:rsid w:val="000863C1"/>
    <w:rsid w:val="0009684C"/>
    <w:rsid w:val="000A1D9D"/>
    <w:rsid w:val="000A5653"/>
    <w:rsid w:val="000C013B"/>
    <w:rsid w:val="000C433E"/>
    <w:rsid w:val="000D28AE"/>
    <w:rsid w:val="000D7DAB"/>
    <w:rsid w:val="000E18E0"/>
    <w:rsid w:val="000E6E97"/>
    <w:rsid w:val="000F3957"/>
    <w:rsid w:val="000F78F3"/>
    <w:rsid w:val="00122DF2"/>
    <w:rsid w:val="001418BD"/>
    <w:rsid w:val="00144899"/>
    <w:rsid w:val="00146924"/>
    <w:rsid w:val="0014796C"/>
    <w:rsid w:val="00150164"/>
    <w:rsid w:val="00152350"/>
    <w:rsid w:val="00153CAE"/>
    <w:rsid w:val="00157774"/>
    <w:rsid w:val="00162F06"/>
    <w:rsid w:val="00162F3C"/>
    <w:rsid w:val="00163AC8"/>
    <w:rsid w:val="00167B2B"/>
    <w:rsid w:val="00174322"/>
    <w:rsid w:val="00183710"/>
    <w:rsid w:val="00196576"/>
    <w:rsid w:val="001A6A06"/>
    <w:rsid w:val="001A7992"/>
    <w:rsid w:val="001B0306"/>
    <w:rsid w:val="001B7873"/>
    <w:rsid w:val="001C3DB1"/>
    <w:rsid w:val="001C6215"/>
    <w:rsid w:val="001D0A26"/>
    <w:rsid w:val="001E12C3"/>
    <w:rsid w:val="00204533"/>
    <w:rsid w:val="00212DD1"/>
    <w:rsid w:val="00221FC8"/>
    <w:rsid w:val="00223A90"/>
    <w:rsid w:val="0022483A"/>
    <w:rsid w:val="002248E0"/>
    <w:rsid w:val="002250AF"/>
    <w:rsid w:val="0022744A"/>
    <w:rsid w:val="00230A53"/>
    <w:rsid w:val="00236D86"/>
    <w:rsid w:val="00244510"/>
    <w:rsid w:val="00250BFA"/>
    <w:rsid w:val="00252D86"/>
    <w:rsid w:val="00255390"/>
    <w:rsid w:val="00262E53"/>
    <w:rsid w:val="00267275"/>
    <w:rsid w:val="0027562E"/>
    <w:rsid w:val="00280DD0"/>
    <w:rsid w:val="00291275"/>
    <w:rsid w:val="002A1B08"/>
    <w:rsid w:val="002C5B6C"/>
    <w:rsid w:val="002C75DB"/>
    <w:rsid w:val="002E37CD"/>
    <w:rsid w:val="002E6666"/>
    <w:rsid w:val="002F35C6"/>
    <w:rsid w:val="00310155"/>
    <w:rsid w:val="003341FA"/>
    <w:rsid w:val="0034330B"/>
    <w:rsid w:val="00347538"/>
    <w:rsid w:val="003512D9"/>
    <w:rsid w:val="00352533"/>
    <w:rsid w:val="003665A3"/>
    <w:rsid w:val="00385C0F"/>
    <w:rsid w:val="00390080"/>
    <w:rsid w:val="003B32F5"/>
    <w:rsid w:val="003B4E50"/>
    <w:rsid w:val="003B662C"/>
    <w:rsid w:val="003B7880"/>
    <w:rsid w:val="003C655D"/>
    <w:rsid w:val="003E244B"/>
    <w:rsid w:val="003E431E"/>
    <w:rsid w:val="003E4A3B"/>
    <w:rsid w:val="003F6271"/>
    <w:rsid w:val="00402C00"/>
    <w:rsid w:val="00411020"/>
    <w:rsid w:val="00411862"/>
    <w:rsid w:val="00412B5E"/>
    <w:rsid w:val="0041480B"/>
    <w:rsid w:val="00414EA0"/>
    <w:rsid w:val="00415FCA"/>
    <w:rsid w:val="00432199"/>
    <w:rsid w:val="00433E9E"/>
    <w:rsid w:val="004409F9"/>
    <w:rsid w:val="0044455E"/>
    <w:rsid w:val="0045151F"/>
    <w:rsid w:val="004523D1"/>
    <w:rsid w:val="00453F51"/>
    <w:rsid w:val="0047184D"/>
    <w:rsid w:val="00475E93"/>
    <w:rsid w:val="0048228B"/>
    <w:rsid w:val="00484BA4"/>
    <w:rsid w:val="00484E14"/>
    <w:rsid w:val="0049058F"/>
    <w:rsid w:val="00490BF0"/>
    <w:rsid w:val="00493EB5"/>
    <w:rsid w:val="00494CDD"/>
    <w:rsid w:val="00495C6C"/>
    <w:rsid w:val="004961BA"/>
    <w:rsid w:val="00496F9A"/>
    <w:rsid w:val="004A2D1E"/>
    <w:rsid w:val="004A351B"/>
    <w:rsid w:val="004A4399"/>
    <w:rsid w:val="004A4780"/>
    <w:rsid w:val="004C1EE2"/>
    <w:rsid w:val="004C433C"/>
    <w:rsid w:val="004C5874"/>
    <w:rsid w:val="004C7913"/>
    <w:rsid w:val="004E288E"/>
    <w:rsid w:val="004F417F"/>
    <w:rsid w:val="004F598D"/>
    <w:rsid w:val="004F669C"/>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65A31"/>
    <w:rsid w:val="005818FD"/>
    <w:rsid w:val="00582AE0"/>
    <w:rsid w:val="00582E0F"/>
    <w:rsid w:val="005905F9"/>
    <w:rsid w:val="005910ED"/>
    <w:rsid w:val="005A5472"/>
    <w:rsid w:val="005A559B"/>
    <w:rsid w:val="005C1ECC"/>
    <w:rsid w:val="005C22D5"/>
    <w:rsid w:val="005C6B7C"/>
    <w:rsid w:val="005D2F9C"/>
    <w:rsid w:val="005D75BE"/>
    <w:rsid w:val="005E1DF9"/>
    <w:rsid w:val="005F2275"/>
    <w:rsid w:val="005F66BD"/>
    <w:rsid w:val="00600180"/>
    <w:rsid w:val="00613040"/>
    <w:rsid w:val="00647B28"/>
    <w:rsid w:val="00671A7B"/>
    <w:rsid w:val="00675CEE"/>
    <w:rsid w:val="0067795D"/>
    <w:rsid w:val="006855C8"/>
    <w:rsid w:val="00693094"/>
    <w:rsid w:val="006A1674"/>
    <w:rsid w:val="006A1D63"/>
    <w:rsid w:val="006A4197"/>
    <w:rsid w:val="006A4BFB"/>
    <w:rsid w:val="006A5826"/>
    <w:rsid w:val="006A78ED"/>
    <w:rsid w:val="006B1681"/>
    <w:rsid w:val="006B24CB"/>
    <w:rsid w:val="006B2B34"/>
    <w:rsid w:val="006B4A1A"/>
    <w:rsid w:val="006B75B8"/>
    <w:rsid w:val="006C1F78"/>
    <w:rsid w:val="006D4135"/>
    <w:rsid w:val="006E06CD"/>
    <w:rsid w:val="00702571"/>
    <w:rsid w:val="00707D3F"/>
    <w:rsid w:val="00715F7F"/>
    <w:rsid w:val="00720B38"/>
    <w:rsid w:val="00721E67"/>
    <w:rsid w:val="00724D7A"/>
    <w:rsid w:val="00731D69"/>
    <w:rsid w:val="0073420A"/>
    <w:rsid w:val="0073528E"/>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84D7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37B17"/>
    <w:rsid w:val="00945C75"/>
    <w:rsid w:val="009478B9"/>
    <w:rsid w:val="00951406"/>
    <w:rsid w:val="009769EE"/>
    <w:rsid w:val="00981123"/>
    <w:rsid w:val="00990BC2"/>
    <w:rsid w:val="00991935"/>
    <w:rsid w:val="00991EDE"/>
    <w:rsid w:val="00993980"/>
    <w:rsid w:val="0099404F"/>
    <w:rsid w:val="009A6404"/>
    <w:rsid w:val="009B60CF"/>
    <w:rsid w:val="009C2174"/>
    <w:rsid w:val="009D0C2F"/>
    <w:rsid w:val="009E0991"/>
    <w:rsid w:val="009E11A9"/>
    <w:rsid w:val="009E2E5F"/>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59C3"/>
    <w:rsid w:val="00A37119"/>
    <w:rsid w:val="00A373C2"/>
    <w:rsid w:val="00A402C5"/>
    <w:rsid w:val="00A44F3F"/>
    <w:rsid w:val="00A61786"/>
    <w:rsid w:val="00A618C9"/>
    <w:rsid w:val="00A70941"/>
    <w:rsid w:val="00A73431"/>
    <w:rsid w:val="00A80A30"/>
    <w:rsid w:val="00A919E8"/>
    <w:rsid w:val="00A91CA7"/>
    <w:rsid w:val="00A92731"/>
    <w:rsid w:val="00A94378"/>
    <w:rsid w:val="00A95F5F"/>
    <w:rsid w:val="00AA519F"/>
    <w:rsid w:val="00AA77EA"/>
    <w:rsid w:val="00AB319F"/>
    <w:rsid w:val="00AB3998"/>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A53FC"/>
    <w:rsid w:val="00CB1037"/>
    <w:rsid w:val="00CB240C"/>
    <w:rsid w:val="00CC4EDA"/>
    <w:rsid w:val="00CC779E"/>
    <w:rsid w:val="00CC78C1"/>
    <w:rsid w:val="00CD1012"/>
    <w:rsid w:val="00CD659D"/>
    <w:rsid w:val="00CE0D68"/>
    <w:rsid w:val="00CE0FBC"/>
    <w:rsid w:val="00CE3043"/>
    <w:rsid w:val="00CE4613"/>
    <w:rsid w:val="00CE562D"/>
    <w:rsid w:val="00CF07F2"/>
    <w:rsid w:val="00D0450D"/>
    <w:rsid w:val="00D0472E"/>
    <w:rsid w:val="00D07A66"/>
    <w:rsid w:val="00D14EC1"/>
    <w:rsid w:val="00D20642"/>
    <w:rsid w:val="00D2169B"/>
    <w:rsid w:val="00D21CA1"/>
    <w:rsid w:val="00D230AF"/>
    <w:rsid w:val="00D24AE0"/>
    <w:rsid w:val="00D439D8"/>
    <w:rsid w:val="00D71EDA"/>
    <w:rsid w:val="00D74A80"/>
    <w:rsid w:val="00D85E8A"/>
    <w:rsid w:val="00D90505"/>
    <w:rsid w:val="00DA46D7"/>
    <w:rsid w:val="00DB4423"/>
    <w:rsid w:val="00DB45DE"/>
    <w:rsid w:val="00DD354C"/>
    <w:rsid w:val="00DE1176"/>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1C7C"/>
    <w:rsid w:val="00E7461E"/>
    <w:rsid w:val="00E7721D"/>
    <w:rsid w:val="00E77566"/>
    <w:rsid w:val="00E85C82"/>
    <w:rsid w:val="00E91D04"/>
    <w:rsid w:val="00E91EE4"/>
    <w:rsid w:val="00E95E9F"/>
    <w:rsid w:val="00EA0271"/>
    <w:rsid w:val="00EA77EA"/>
    <w:rsid w:val="00EA79C4"/>
    <w:rsid w:val="00EB4B77"/>
    <w:rsid w:val="00EB51C9"/>
    <w:rsid w:val="00EC6CD4"/>
    <w:rsid w:val="00ED7190"/>
    <w:rsid w:val="00EE657B"/>
    <w:rsid w:val="00EE736B"/>
    <w:rsid w:val="00EF090A"/>
    <w:rsid w:val="00F00C78"/>
    <w:rsid w:val="00F078DC"/>
    <w:rsid w:val="00F115A2"/>
    <w:rsid w:val="00F300B3"/>
    <w:rsid w:val="00F43DA7"/>
    <w:rsid w:val="00F503B6"/>
    <w:rsid w:val="00F549E3"/>
    <w:rsid w:val="00F627FD"/>
    <w:rsid w:val="00F75FF6"/>
    <w:rsid w:val="00F81301"/>
    <w:rsid w:val="00F860F7"/>
    <w:rsid w:val="00F86A2F"/>
    <w:rsid w:val="00F91D26"/>
    <w:rsid w:val="00F93758"/>
    <w:rsid w:val="00F974C1"/>
    <w:rsid w:val="00FA02C5"/>
    <w:rsid w:val="00FA223F"/>
    <w:rsid w:val="00FB1D16"/>
    <w:rsid w:val="00FB6C8E"/>
    <w:rsid w:val="00FC05E6"/>
    <w:rsid w:val="00FC4C41"/>
    <w:rsid w:val="00FD2CEA"/>
    <w:rsid w:val="00FE2388"/>
    <w:rsid w:val="00FE58AD"/>
    <w:rsid w:val="00FF032C"/>
    <w:rsid w:val="00FF29D0"/>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1838-3C6F-4200-926C-7821A920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34</Pages>
  <Words>7898</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145</cp:revision>
  <cp:lastPrinted>2022-05-09T08:37:00Z</cp:lastPrinted>
  <dcterms:created xsi:type="dcterms:W3CDTF">2021-06-24T04:35:00Z</dcterms:created>
  <dcterms:modified xsi:type="dcterms:W3CDTF">2024-03-05T09:37:00Z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